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97E7" w14:textId="77777777" w:rsidR="0040727B" w:rsidRDefault="00C40254">
      <w:pPr>
        <w:spacing w:beforeLines="50" w:before="156" w:afterLines="50" w:after="156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 xml:space="preserve"> </w:t>
      </w:r>
    </w:p>
    <w:p w14:paraId="01EB7E12" w14:textId="77777777" w:rsidR="0040727B" w:rsidRDefault="00C40254">
      <w:pPr>
        <w:spacing w:beforeLines="50" w:before="156" w:afterLines="50" w:after="156"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竞赛项目说明</w:t>
      </w:r>
    </w:p>
    <w:p w14:paraId="42502379" w14:textId="2946F346" w:rsidR="0040727B" w:rsidRDefault="00C40254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</w:t>
      </w:r>
      <w:proofErr w:type="gramStart"/>
      <w:r>
        <w:rPr>
          <w:rFonts w:hint="eastAsia"/>
          <w:b/>
          <w:sz w:val="28"/>
          <w:szCs w:val="28"/>
        </w:rPr>
        <w:t>一</w:t>
      </w:r>
      <w:proofErr w:type="gramEnd"/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：生态畜牧场规划设计</w:t>
      </w:r>
    </w:p>
    <w:p w14:paraId="176DB5E0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主题要求：设计绿色健康生态畜牧场，以向市场提供“健康、优质、安全”畜产品为主要目标。</w:t>
      </w:r>
    </w:p>
    <w:p w14:paraId="66E6FF7B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作品要求：规划书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份，包含建设目标、设计理念、建设条件、建设内容等。</w:t>
      </w:r>
    </w:p>
    <w:p w14:paraId="46E3F8DC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评分标准：规划书完整性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分，科学合理性</w:t>
      </w:r>
      <w:r>
        <w:rPr>
          <w:sz w:val="28"/>
          <w:szCs w:val="28"/>
        </w:rPr>
        <w:t>40</w:t>
      </w:r>
      <w:r>
        <w:rPr>
          <w:rFonts w:hint="eastAsia"/>
          <w:sz w:val="28"/>
          <w:szCs w:val="28"/>
        </w:rPr>
        <w:t>分，可行性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分。</w:t>
      </w:r>
    </w:p>
    <w:p w14:paraId="32CEEE55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竞赛说明：由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名评委根据规划书给出分数，计算平均值。</w:t>
      </w:r>
    </w:p>
    <w:p w14:paraId="479A079F" w14:textId="5A9BA481" w:rsidR="0040727B" w:rsidRDefault="00C40254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项目二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：饲料原料快速鉴定与掺假识别—掺假鱼粉的鉴定</w:t>
      </w:r>
    </w:p>
    <w:p w14:paraId="7B23494E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竞赛内容和要求</w:t>
      </w:r>
    </w:p>
    <w:p w14:paraId="13C040C8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）显微镜检测操作考察：体视显微镜的正确使用与调试，待检样本的正确取样，正确的镜检观察方式与操作过程，熟悉显微镜下鱼粉掺假的特征及快速鉴定方法。</w:t>
      </w:r>
    </w:p>
    <w:p w14:paraId="5181ED7B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）掺假成分的化学定性方法考察：根据饲料所含可能掺假成分的化学性质，选用合适的化学试剂鉴定出掺假成分，考察鉴定过程的规范性。</w:t>
      </w:r>
    </w:p>
    <w:p w14:paraId="008063B3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）鉴定报告：根据镜检和化学检测列出对应样品中掺假物质的名称，描写出镜检结果的判定依据及化学鉴定依据。</w:t>
      </w:r>
    </w:p>
    <w:p w14:paraId="587D7F9A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评分标准</w:t>
      </w:r>
    </w:p>
    <w:p w14:paraId="61950BEA" w14:textId="77777777" w:rsidR="0040727B" w:rsidRDefault="00C4025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鉴定时间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分，镜检的正确取样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分，正确的镜检观察方式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lastRenderedPageBreak/>
        <w:t>分，掺假原料鉴定的准确度</w:t>
      </w:r>
      <w:r>
        <w:rPr>
          <w:sz w:val="28"/>
          <w:szCs w:val="28"/>
        </w:rPr>
        <w:t>60</w:t>
      </w:r>
      <w:r>
        <w:rPr>
          <w:rFonts w:hint="eastAsia"/>
          <w:sz w:val="28"/>
          <w:szCs w:val="28"/>
        </w:rPr>
        <w:t>分，鉴定报告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分。</w:t>
      </w:r>
    </w:p>
    <w:p w14:paraId="2DF6F490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竞赛说明</w:t>
      </w:r>
    </w:p>
    <w:p w14:paraId="76110902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）每组选手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人，分工进行取样、镜检、化学分析、报告撰写等。</w:t>
      </w:r>
    </w:p>
    <w:p w14:paraId="0693839F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）待检测鱼粉中掺假原料包含稻壳、麸皮、棉籽</w:t>
      </w:r>
      <w:proofErr w:type="gramStart"/>
      <w:r>
        <w:rPr>
          <w:rFonts w:hint="eastAsia"/>
          <w:sz w:val="28"/>
          <w:szCs w:val="28"/>
        </w:rPr>
        <w:t>粕</w:t>
      </w:r>
      <w:proofErr w:type="gramEnd"/>
      <w:r>
        <w:rPr>
          <w:rFonts w:hint="eastAsia"/>
          <w:sz w:val="28"/>
          <w:szCs w:val="28"/>
        </w:rPr>
        <w:t>、菜籽</w:t>
      </w:r>
      <w:proofErr w:type="gramStart"/>
      <w:r>
        <w:rPr>
          <w:rFonts w:hint="eastAsia"/>
          <w:sz w:val="28"/>
          <w:szCs w:val="28"/>
        </w:rPr>
        <w:t>粕</w:t>
      </w:r>
      <w:proofErr w:type="gramEnd"/>
      <w:r>
        <w:rPr>
          <w:rFonts w:hint="eastAsia"/>
          <w:sz w:val="28"/>
          <w:szCs w:val="28"/>
        </w:rPr>
        <w:t>。</w:t>
      </w:r>
    </w:p>
    <w:p w14:paraId="642D21D5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）比赛限定时间为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分钟，在工作人员下达“开始”命令后方可开始。</w:t>
      </w:r>
    </w:p>
    <w:p w14:paraId="3277D5A0" w14:textId="77777777" w:rsidR="0040727B" w:rsidRDefault="00C402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）比赛现场将提供体视显微镜及</w:t>
      </w:r>
      <w:r>
        <w:rPr>
          <w:sz w:val="28"/>
          <w:szCs w:val="28"/>
        </w:rPr>
        <w:t>其他相关试剂</w:t>
      </w:r>
      <w:r>
        <w:rPr>
          <w:rFonts w:hint="eastAsia"/>
          <w:sz w:val="28"/>
          <w:szCs w:val="28"/>
        </w:rPr>
        <w:t>。</w:t>
      </w:r>
    </w:p>
    <w:p w14:paraId="3A4B2E85" w14:textId="77777777" w:rsidR="0040727B" w:rsidRDefault="00C40254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团队总得分计算</w:t>
      </w:r>
    </w:p>
    <w:p w14:paraId="71448486" w14:textId="77777777" w:rsidR="0040727B" w:rsidRDefault="00C40254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总分数</w:t>
      </w:r>
      <w:r>
        <w:rPr>
          <w:rFonts w:hint="eastAsia"/>
          <w:sz w:val="30"/>
          <w:szCs w:val="30"/>
        </w:rPr>
        <w:t>=</w:t>
      </w:r>
      <w:r>
        <w:rPr>
          <w:rFonts w:hint="eastAsia"/>
          <w:sz w:val="30"/>
          <w:szCs w:val="30"/>
        </w:rPr>
        <w:t>项目</w:t>
      </w: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分数×</w:t>
      </w:r>
      <w:r>
        <w:rPr>
          <w:rFonts w:hint="eastAsia"/>
          <w:sz w:val="30"/>
          <w:szCs w:val="30"/>
        </w:rPr>
        <w:t>5</w:t>
      </w:r>
      <w:r>
        <w:rPr>
          <w:sz w:val="30"/>
          <w:szCs w:val="30"/>
        </w:rPr>
        <w:t>0%+</w:t>
      </w:r>
      <w:r>
        <w:rPr>
          <w:rFonts w:hint="eastAsia"/>
          <w:sz w:val="30"/>
          <w:szCs w:val="30"/>
        </w:rPr>
        <w:t>项目二分数×</w:t>
      </w:r>
      <w:r>
        <w:rPr>
          <w:sz w:val="30"/>
          <w:szCs w:val="30"/>
        </w:rPr>
        <w:t>50%</w:t>
      </w:r>
    </w:p>
    <w:p w14:paraId="6C9CEB35" w14:textId="77777777" w:rsidR="0040727B" w:rsidRDefault="0040727B">
      <w:pPr>
        <w:spacing w:line="360" w:lineRule="auto"/>
        <w:rPr>
          <w:sz w:val="30"/>
          <w:szCs w:val="30"/>
        </w:rPr>
      </w:pPr>
    </w:p>
    <w:p w14:paraId="5AF84B0F" w14:textId="77777777" w:rsidR="0040727B" w:rsidRDefault="0040727B">
      <w:pPr>
        <w:spacing w:line="360" w:lineRule="auto"/>
        <w:rPr>
          <w:sz w:val="30"/>
          <w:szCs w:val="30"/>
        </w:rPr>
      </w:pPr>
    </w:p>
    <w:p w14:paraId="02647391" w14:textId="77777777" w:rsidR="0040727B" w:rsidRDefault="0040727B">
      <w:pPr>
        <w:spacing w:line="360" w:lineRule="auto"/>
        <w:rPr>
          <w:sz w:val="30"/>
          <w:szCs w:val="30"/>
        </w:rPr>
      </w:pPr>
    </w:p>
    <w:p w14:paraId="62B2317A" w14:textId="77777777" w:rsidR="0040727B" w:rsidRDefault="0040727B">
      <w:pPr>
        <w:spacing w:line="360" w:lineRule="auto"/>
        <w:rPr>
          <w:sz w:val="30"/>
          <w:szCs w:val="30"/>
        </w:rPr>
      </w:pPr>
    </w:p>
    <w:p w14:paraId="6921112D" w14:textId="77777777" w:rsidR="0040727B" w:rsidRDefault="0040727B">
      <w:pPr>
        <w:spacing w:line="360" w:lineRule="auto"/>
        <w:rPr>
          <w:sz w:val="30"/>
          <w:szCs w:val="30"/>
        </w:rPr>
      </w:pPr>
    </w:p>
    <w:p w14:paraId="349CE5DB" w14:textId="77777777" w:rsidR="0040727B" w:rsidRDefault="0040727B">
      <w:pPr>
        <w:spacing w:line="360" w:lineRule="auto"/>
        <w:rPr>
          <w:sz w:val="30"/>
          <w:szCs w:val="30"/>
        </w:rPr>
      </w:pPr>
    </w:p>
    <w:p w14:paraId="022ADBBA" w14:textId="77777777" w:rsidR="0040727B" w:rsidRDefault="0040727B">
      <w:pPr>
        <w:spacing w:line="360" w:lineRule="auto"/>
        <w:rPr>
          <w:sz w:val="30"/>
          <w:szCs w:val="30"/>
        </w:rPr>
      </w:pPr>
    </w:p>
    <w:p w14:paraId="413C27E4" w14:textId="77777777" w:rsidR="0040727B" w:rsidRDefault="0040727B">
      <w:pPr>
        <w:spacing w:line="360" w:lineRule="auto"/>
        <w:rPr>
          <w:sz w:val="30"/>
          <w:szCs w:val="30"/>
        </w:rPr>
      </w:pPr>
    </w:p>
    <w:p w14:paraId="3BD32DF2" w14:textId="77777777" w:rsidR="0040727B" w:rsidRDefault="0040727B">
      <w:pPr>
        <w:spacing w:line="360" w:lineRule="auto"/>
        <w:rPr>
          <w:sz w:val="30"/>
          <w:szCs w:val="30"/>
        </w:rPr>
      </w:pPr>
    </w:p>
    <w:p w14:paraId="2F967EC6" w14:textId="77777777" w:rsidR="0040727B" w:rsidRDefault="0040727B">
      <w:pPr>
        <w:spacing w:line="360" w:lineRule="auto"/>
        <w:rPr>
          <w:sz w:val="30"/>
          <w:szCs w:val="30"/>
        </w:rPr>
      </w:pPr>
    </w:p>
    <w:p w14:paraId="3B8A2DF3" w14:textId="77777777" w:rsidR="0040727B" w:rsidRDefault="0040727B">
      <w:pPr>
        <w:spacing w:line="360" w:lineRule="auto"/>
        <w:rPr>
          <w:sz w:val="30"/>
          <w:szCs w:val="30"/>
        </w:rPr>
      </w:pPr>
    </w:p>
    <w:p w14:paraId="3F1189B6" w14:textId="77777777" w:rsidR="0040727B" w:rsidRDefault="0040727B">
      <w:pPr>
        <w:spacing w:line="360" w:lineRule="auto"/>
        <w:rPr>
          <w:sz w:val="30"/>
          <w:szCs w:val="30"/>
        </w:rPr>
      </w:pPr>
    </w:p>
    <w:p w14:paraId="19CCEDC0" w14:textId="77777777" w:rsidR="0040727B" w:rsidRPr="005A5377" w:rsidRDefault="0040727B">
      <w:pPr>
        <w:spacing w:line="360" w:lineRule="auto"/>
        <w:rPr>
          <w:sz w:val="30"/>
          <w:szCs w:val="30"/>
        </w:rPr>
      </w:pPr>
    </w:p>
    <w:sectPr w:rsidR="0040727B" w:rsidRPr="005A5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lmODVkMzY4Yjg0ODFmZTg0ZmMyNmQyZDU5OGQ5MDEifQ=="/>
  </w:docVars>
  <w:rsids>
    <w:rsidRoot w:val="2F5C44C8"/>
    <w:rsid w:val="0040727B"/>
    <w:rsid w:val="005A5377"/>
    <w:rsid w:val="00C40254"/>
    <w:rsid w:val="2F5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70C1E"/>
  <w15:docId w15:val="{8C3B4FC8-754B-4664-9A89-5B727ED9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二胡的弦</dc:creator>
  <cp:lastModifiedBy>杜梅</cp:lastModifiedBy>
  <cp:revision>3</cp:revision>
  <dcterms:created xsi:type="dcterms:W3CDTF">2024-05-15T08:06:00Z</dcterms:created>
  <dcterms:modified xsi:type="dcterms:W3CDTF">2025-04-08T07:48:00Z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C42AD36016264B7785BEFBB76E28BD4F_11</vt:lpwstr>
  </property>
</Properties>
</file>